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0EC" w:rsidRDefault="00BC2C5B">
      <w:r w:rsidRPr="00BC2C5B">
        <w:rPr>
          <w:color w:val="auto"/>
          <w:kern w:val="0"/>
          <w:sz w:val="24"/>
          <w:szCs w:val="24"/>
        </w:rPr>
        <w:pict>
          <v:shapetype id="_x0000_t202" coordsize="21600,21600" o:spt="202" path="m,l,21600r21600,l21600,xe">
            <v:stroke joinstyle="miter"/>
            <v:path gradientshapeok="t" o:connecttype="rect"/>
          </v:shapetype>
          <v:shape id="_x0000_s1040" type="#_x0000_t202" style="position:absolute;margin-left:-3pt;margin-top:364.5pt;width:97.5pt;height:380pt;z-index:251660800;mso-wrap-distance-left:2.88pt;mso-wrap-distance-top:2.88pt;mso-wrap-distance-right:2.88pt;mso-wrap-distance-bottom:2.88pt" filled="f" stroked="f" insetpen="t" o:cliptowrap="t">
            <v:fill color2="black"/>
            <v:shadow color="#ccc"/>
            <v:textbox style="mso-column-margin:5.76pt" inset="2.88pt,2.88pt,2.88pt,2.88pt">
              <w:txbxContent>
                <w:p w:rsidR="00520DE9" w:rsidRDefault="00520DE9" w:rsidP="00520DE9">
                  <w:pPr>
                    <w:widowControl w:val="0"/>
                    <w:jc w:val="center"/>
                    <w:rPr>
                      <w:b/>
                      <w:bCs/>
                      <w:sz w:val="24"/>
                      <w:szCs w:val="24"/>
                      <w:u w:val="single"/>
                    </w:rPr>
                  </w:pPr>
                  <w:r>
                    <w:rPr>
                      <w:b/>
                      <w:bCs/>
                      <w:sz w:val="24"/>
                      <w:szCs w:val="24"/>
                      <w:u w:val="single"/>
                    </w:rPr>
                    <w:t xml:space="preserve">Upcoming Events </w:t>
                  </w:r>
                </w:p>
                <w:p w:rsidR="00345C20" w:rsidRDefault="00345C20" w:rsidP="00520DE9">
                  <w:pPr>
                    <w:widowControl w:val="0"/>
                    <w:jc w:val="center"/>
                    <w:rPr>
                      <w:b/>
                      <w:bCs/>
                      <w:sz w:val="24"/>
                      <w:szCs w:val="24"/>
                      <w:u w:val="single"/>
                    </w:rPr>
                  </w:pPr>
                </w:p>
                <w:p w:rsidR="000F19E8" w:rsidRDefault="0060780E" w:rsidP="00345C20">
                  <w:pPr>
                    <w:rPr>
                      <w:b/>
                      <w:sz w:val="24"/>
                      <w:szCs w:val="24"/>
                    </w:rPr>
                  </w:pPr>
                  <w:r w:rsidRPr="009D6CDE">
                    <w:rPr>
                      <w:b/>
                      <w:sz w:val="24"/>
                      <w:szCs w:val="24"/>
                    </w:rPr>
                    <w:t>December</w:t>
                  </w:r>
                  <w:r w:rsidR="000F19E8">
                    <w:rPr>
                      <w:b/>
                      <w:sz w:val="24"/>
                      <w:szCs w:val="24"/>
                    </w:rPr>
                    <w:t xml:space="preserve"> 14:  </w:t>
                  </w:r>
                </w:p>
                <w:p w:rsidR="000F19E8" w:rsidRDefault="000F19E8" w:rsidP="00345C20">
                  <w:pPr>
                    <w:rPr>
                      <w:sz w:val="24"/>
                      <w:szCs w:val="24"/>
                    </w:rPr>
                  </w:pPr>
                  <w:r>
                    <w:rPr>
                      <w:sz w:val="24"/>
                      <w:szCs w:val="24"/>
                    </w:rPr>
                    <w:t>Treasure Valley</w:t>
                  </w:r>
                </w:p>
                <w:p w:rsidR="000F19E8" w:rsidRDefault="000F19E8" w:rsidP="00345C20">
                  <w:pPr>
                    <w:rPr>
                      <w:sz w:val="24"/>
                      <w:szCs w:val="24"/>
                    </w:rPr>
                  </w:pPr>
                  <w:r>
                    <w:rPr>
                      <w:sz w:val="24"/>
                      <w:szCs w:val="24"/>
                    </w:rPr>
                    <w:t>CAMP Advisory</w:t>
                  </w:r>
                </w:p>
                <w:p w:rsidR="000F19E8" w:rsidRDefault="000F19E8" w:rsidP="00345C20">
                  <w:pPr>
                    <w:rPr>
                      <w:sz w:val="24"/>
                      <w:szCs w:val="24"/>
                    </w:rPr>
                  </w:pPr>
                  <w:r>
                    <w:rPr>
                      <w:sz w:val="24"/>
                      <w:szCs w:val="24"/>
                    </w:rPr>
                    <w:t>Committee</w:t>
                  </w:r>
                </w:p>
                <w:p w:rsidR="00345C20" w:rsidRPr="00345C20" w:rsidRDefault="000F19E8" w:rsidP="00345C20">
                  <w:pPr>
                    <w:rPr>
                      <w:bCs/>
                      <w:sz w:val="24"/>
                      <w:szCs w:val="24"/>
                    </w:rPr>
                  </w:pPr>
                  <w:r>
                    <w:rPr>
                      <w:sz w:val="24"/>
                      <w:szCs w:val="24"/>
                    </w:rPr>
                    <w:t>Time &amp; Location TBA</w:t>
                  </w:r>
                  <w:r w:rsidR="0060780E">
                    <w:rPr>
                      <w:sz w:val="24"/>
                      <w:szCs w:val="24"/>
                    </w:rPr>
                    <w:t xml:space="preserve">  </w:t>
                  </w:r>
                </w:p>
              </w:txbxContent>
            </v:textbox>
          </v:shape>
        </w:pict>
      </w:r>
      <w:r w:rsidRPr="00BC2C5B">
        <w:rPr>
          <w:color w:val="auto"/>
          <w:kern w:val="0"/>
          <w:sz w:val="24"/>
          <w:szCs w:val="24"/>
        </w:rPr>
        <w:pict>
          <v:shape id="_x0000_s1038" type="#_x0000_t202" style="position:absolute;margin-left:110.7pt;margin-top:42.75pt;width:446.55pt;height:740.25pt;z-index:251658752;mso-wrap-distance-left:2.88pt;mso-wrap-distance-top:2.88pt;mso-wrap-distance-right:2.88pt;mso-wrap-distance-bottom:2.88pt" stroked="f" strokeweight="0" insetpen="t">
            <v:fill color2="black"/>
            <v:stroke>
              <o:column v:ext="view" weight="0"/>
            </v:stroke>
            <v:shadow color="#ccc"/>
            <v:textbox style="mso-next-textbox:#_x0000_s1038;mso-column-margin:5.7pt;mso-rotate-with-shape:t" inset="2.85pt,2.85pt,2.85pt,2.85pt">
              <w:txbxContent>
                <w:p w:rsidR="00333628" w:rsidRDefault="002C2197" w:rsidP="00F634AA">
                  <w:pPr>
                    <w:ind w:left="180" w:firstLine="540"/>
                    <w:rPr>
                      <w:sz w:val="22"/>
                      <w:szCs w:val="22"/>
                    </w:rPr>
                  </w:pPr>
                  <w:r w:rsidRPr="00AD2C10">
                    <w:rPr>
                      <w:b/>
                      <w:sz w:val="24"/>
                      <w:szCs w:val="24"/>
                    </w:rPr>
                    <w:t>T</w:t>
                  </w:r>
                  <w:r w:rsidR="0060182C" w:rsidRPr="00AD2C10">
                    <w:rPr>
                      <w:b/>
                      <w:sz w:val="22"/>
                      <w:szCs w:val="22"/>
                    </w:rPr>
                    <w:t>reasure Valley Camp</w:t>
                  </w:r>
                  <w:r w:rsidR="00AD2C10">
                    <w:rPr>
                      <w:sz w:val="22"/>
                      <w:szCs w:val="22"/>
                    </w:rPr>
                    <w:t>/</w:t>
                  </w:r>
                  <w:r w:rsidR="00AD2C10">
                    <w:rPr>
                      <w:i/>
                      <w:sz w:val="22"/>
                      <w:szCs w:val="22"/>
                    </w:rPr>
                    <w:t>Boise/</w:t>
                  </w:r>
                  <w:r w:rsidR="0060182C" w:rsidRPr="00AD2C10">
                    <w:rPr>
                      <w:sz w:val="22"/>
                      <w:szCs w:val="22"/>
                    </w:rPr>
                    <w:t xml:space="preserve"> </w:t>
                  </w:r>
                  <w:r w:rsidR="0060182C" w:rsidRPr="00AD2C10">
                    <w:rPr>
                      <w:i/>
                      <w:sz w:val="22"/>
                      <w:szCs w:val="22"/>
                    </w:rPr>
                    <w:t>November 10, 2010</w:t>
                  </w:r>
                  <w:r w:rsidR="00AD2C10">
                    <w:rPr>
                      <w:sz w:val="22"/>
                      <w:szCs w:val="22"/>
                    </w:rPr>
                    <w:t>:</w:t>
                  </w:r>
                  <w:r w:rsidR="0060182C">
                    <w:rPr>
                      <w:sz w:val="22"/>
                      <w:szCs w:val="22"/>
                    </w:rPr>
                    <w:t xml:space="preserve">  The </w:t>
                  </w:r>
                  <w:r w:rsidR="00AD2C10">
                    <w:rPr>
                      <w:sz w:val="22"/>
                      <w:szCs w:val="22"/>
                    </w:rPr>
                    <w:t xml:space="preserve">Treasure Valley Advisory Committee opted to split into four subcommittees to address some of the remaining issues and meet the initial goal of presenting a completed planning document to Idaho Water Resource Board (IWRB) by March 2011.  At this meeting, the four subcommittees discussed water supply issues in the morning and reported on their findings for further deliberation as a full group </w:t>
                  </w:r>
                  <w:r w:rsidR="001D60B5">
                    <w:rPr>
                      <w:sz w:val="22"/>
                      <w:szCs w:val="22"/>
                    </w:rPr>
                    <w:t xml:space="preserve">again </w:t>
                  </w:r>
                  <w:r w:rsidR="00AD2C10">
                    <w:rPr>
                      <w:sz w:val="22"/>
                      <w:szCs w:val="22"/>
                    </w:rPr>
                    <w:t>in the afternoon</w:t>
                  </w:r>
                  <w:r w:rsidR="001D60B5">
                    <w:rPr>
                      <w:sz w:val="22"/>
                      <w:szCs w:val="22"/>
                    </w:rPr>
                    <w:t>.  Ele</w:t>
                  </w:r>
                  <w:r w:rsidR="00744FCD">
                    <w:rPr>
                      <w:sz w:val="22"/>
                      <w:szCs w:val="22"/>
                    </w:rPr>
                    <w:t xml:space="preserve">ven issues </w:t>
                  </w:r>
                  <w:r w:rsidR="00AD2C10">
                    <w:rPr>
                      <w:sz w:val="22"/>
                      <w:szCs w:val="22"/>
                    </w:rPr>
                    <w:t>emerged:  1</w:t>
                  </w:r>
                  <w:r w:rsidR="00744FCD">
                    <w:rPr>
                      <w:sz w:val="22"/>
                      <w:szCs w:val="22"/>
                    </w:rPr>
                    <w:t xml:space="preserve">) Integrate land use and water planning; 2) Develop </w:t>
                  </w:r>
                  <w:r w:rsidR="001D60B5">
                    <w:rPr>
                      <w:sz w:val="22"/>
                      <w:szCs w:val="22"/>
                    </w:rPr>
                    <w:t>d</w:t>
                  </w:r>
                  <w:r w:rsidR="00744FCD">
                    <w:rPr>
                      <w:sz w:val="22"/>
                      <w:szCs w:val="22"/>
                    </w:rPr>
                    <w:t xml:space="preserve">ecision-making </w:t>
                  </w:r>
                  <w:r w:rsidR="001D60B5">
                    <w:rPr>
                      <w:sz w:val="22"/>
                      <w:szCs w:val="22"/>
                    </w:rPr>
                    <w:t>t</w:t>
                  </w:r>
                  <w:r w:rsidR="00744FCD">
                    <w:rPr>
                      <w:sz w:val="22"/>
                      <w:szCs w:val="22"/>
                    </w:rPr>
                    <w:t xml:space="preserve">ools and </w:t>
                  </w:r>
                  <w:r w:rsidR="001D60B5">
                    <w:rPr>
                      <w:sz w:val="22"/>
                      <w:szCs w:val="22"/>
                    </w:rPr>
                    <w:t>identify the d</w:t>
                  </w:r>
                  <w:r w:rsidR="00744FCD">
                    <w:rPr>
                      <w:sz w:val="22"/>
                      <w:szCs w:val="22"/>
                    </w:rPr>
                    <w:t xml:space="preserve">ata you need; 3) Utilize cloud seeding; 4) </w:t>
                  </w:r>
                  <w:r w:rsidR="001D60B5">
                    <w:rPr>
                      <w:sz w:val="22"/>
                      <w:szCs w:val="22"/>
                    </w:rPr>
                    <w:t>Incentivize c</w:t>
                  </w:r>
                  <w:r w:rsidR="00744FCD">
                    <w:rPr>
                      <w:sz w:val="22"/>
                      <w:szCs w:val="22"/>
                    </w:rPr>
                    <w:t xml:space="preserve">onservation; 4) </w:t>
                  </w:r>
                  <w:r w:rsidR="001D60B5">
                    <w:rPr>
                      <w:sz w:val="22"/>
                      <w:szCs w:val="22"/>
                    </w:rPr>
                    <w:t>look for opportunities to gain efficiencies in water d</w:t>
                  </w:r>
                  <w:r w:rsidR="00744FCD">
                    <w:rPr>
                      <w:sz w:val="22"/>
                      <w:szCs w:val="22"/>
                    </w:rPr>
                    <w:t xml:space="preserve">istribution; 5) </w:t>
                  </w:r>
                  <w:r w:rsidR="001D60B5">
                    <w:rPr>
                      <w:sz w:val="22"/>
                      <w:szCs w:val="22"/>
                    </w:rPr>
                    <w:t>explore ways to use s</w:t>
                  </w:r>
                  <w:r w:rsidR="00744FCD">
                    <w:rPr>
                      <w:sz w:val="22"/>
                      <w:szCs w:val="22"/>
                    </w:rPr>
                    <w:t xml:space="preserve">torage </w:t>
                  </w:r>
                  <w:r w:rsidR="001D60B5">
                    <w:rPr>
                      <w:sz w:val="22"/>
                      <w:szCs w:val="22"/>
                    </w:rPr>
                    <w:t xml:space="preserve">for surface and ground water; </w:t>
                  </w:r>
                  <w:r w:rsidR="00744FCD">
                    <w:rPr>
                      <w:sz w:val="22"/>
                      <w:szCs w:val="22"/>
                    </w:rPr>
                    <w:t xml:space="preserve"> 6) Protect and maintain existing irrigated agriculture  infrastructure; 7) </w:t>
                  </w:r>
                  <w:r w:rsidR="001D60B5">
                    <w:rPr>
                      <w:sz w:val="22"/>
                      <w:szCs w:val="22"/>
                    </w:rPr>
                    <w:t>improve f</w:t>
                  </w:r>
                  <w:r w:rsidR="00744FCD">
                    <w:rPr>
                      <w:sz w:val="22"/>
                      <w:szCs w:val="22"/>
                    </w:rPr>
                    <w:t xml:space="preserve">lood control; 8) </w:t>
                  </w:r>
                  <w:r w:rsidR="001D60B5">
                    <w:rPr>
                      <w:sz w:val="22"/>
                      <w:szCs w:val="22"/>
                    </w:rPr>
                    <w:t>better define the parameters to legally enforce water rights and administer Conjunctive Management; 9</w:t>
                  </w:r>
                  <w:r w:rsidR="00744FCD">
                    <w:rPr>
                      <w:sz w:val="22"/>
                      <w:szCs w:val="22"/>
                    </w:rPr>
                    <w:t>) Effective</w:t>
                  </w:r>
                  <w:r w:rsidR="001D60B5">
                    <w:rPr>
                      <w:sz w:val="22"/>
                      <w:szCs w:val="22"/>
                    </w:rPr>
                    <w:t>ly</w:t>
                  </w:r>
                  <w:r w:rsidR="00744FCD">
                    <w:rPr>
                      <w:sz w:val="22"/>
                      <w:szCs w:val="22"/>
                    </w:rPr>
                    <w:t xml:space="preserve"> use geothermal resources as technologies evolve, including reinjection; 10) Utilize and improve the market system;</w:t>
                  </w:r>
                  <w:r w:rsidR="00850834">
                    <w:rPr>
                      <w:sz w:val="22"/>
                      <w:szCs w:val="22"/>
                    </w:rPr>
                    <w:t xml:space="preserve"> and 11) </w:t>
                  </w:r>
                  <w:r w:rsidR="001D60B5">
                    <w:rPr>
                      <w:sz w:val="22"/>
                      <w:szCs w:val="22"/>
                    </w:rPr>
                    <w:t xml:space="preserve"> encourage the development of w</w:t>
                  </w:r>
                  <w:r w:rsidR="00850834">
                    <w:rPr>
                      <w:sz w:val="22"/>
                      <w:szCs w:val="22"/>
                    </w:rPr>
                    <w:t xml:space="preserve">ater </w:t>
                  </w:r>
                  <w:r w:rsidR="001D60B5">
                    <w:rPr>
                      <w:sz w:val="22"/>
                      <w:szCs w:val="22"/>
                    </w:rPr>
                    <w:t>m</w:t>
                  </w:r>
                  <w:r w:rsidR="00850834">
                    <w:rPr>
                      <w:sz w:val="22"/>
                      <w:szCs w:val="22"/>
                    </w:rPr>
                    <w:t>arkets</w:t>
                  </w:r>
                  <w:r w:rsidR="001D60B5">
                    <w:rPr>
                      <w:sz w:val="22"/>
                      <w:szCs w:val="22"/>
                    </w:rPr>
                    <w:t>.</w:t>
                  </w:r>
                </w:p>
                <w:p w:rsidR="00C93CE1" w:rsidRDefault="00FA0170" w:rsidP="00F634AA">
                  <w:pPr>
                    <w:pStyle w:val="Default"/>
                    <w:ind w:firstLine="720"/>
                    <w:jc w:val="both"/>
                    <w:rPr>
                      <w:sz w:val="22"/>
                      <w:szCs w:val="22"/>
                    </w:rPr>
                  </w:pPr>
                  <w:r>
                    <w:rPr>
                      <w:sz w:val="22"/>
                      <w:szCs w:val="22"/>
                    </w:rPr>
                    <w:t xml:space="preserve">Once the ideas from each group were combined, there seemed to be some common themes that emerged.  The Advisory Committee as a whole then prioritized those ideas.  </w:t>
                  </w:r>
                  <w:r w:rsidR="00466F79">
                    <w:rPr>
                      <w:sz w:val="22"/>
                      <w:szCs w:val="22"/>
                    </w:rPr>
                    <w:t>Monitoring</w:t>
                  </w:r>
                  <w:r w:rsidR="00850834">
                    <w:rPr>
                      <w:sz w:val="22"/>
                      <w:szCs w:val="22"/>
                    </w:rPr>
                    <w:t>, water measuring,</w:t>
                  </w:r>
                  <w:r w:rsidR="00466F79">
                    <w:rPr>
                      <w:sz w:val="22"/>
                      <w:szCs w:val="22"/>
                    </w:rPr>
                    <w:t xml:space="preserve"> and data collection </w:t>
                  </w:r>
                  <w:r>
                    <w:rPr>
                      <w:sz w:val="22"/>
                      <w:szCs w:val="22"/>
                    </w:rPr>
                    <w:t>is n</w:t>
                  </w:r>
                  <w:r w:rsidR="00466F79">
                    <w:rPr>
                      <w:sz w:val="22"/>
                      <w:szCs w:val="22"/>
                    </w:rPr>
                    <w:t xml:space="preserve">eeded </w:t>
                  </w:r>
                  <w:r>
                    <w:rPr>
                      <w:sz w:val="22"/>
                      <w:szCs w:val="22"/>
                    </w:rPr>
                    <w:t xml:space="preserve">for </w:t>
                  </w:r>
                  <w:r w:rsidR="00466F79">
                    <w:rPr>
                      <w:sz w:val="22"/>
                      <w:szCs w:val="22"/>
                    </w:rPr>
                    <w:t>better decision</w:t>
                  </w:r>
                  <w:r>
                    <w:rPr>
                      <w:sz w:val="22"/>
                      <w:szCs w:val="22"/>
                    </w:rPr>
                    <w:t>-making</w:t>
                  </w:r>
                  <w:r w:rsidR="00466F79">
                    <w:rPr>
                      <w:sz w:val="22"/>
                      <w:szCs w:val="22"/>
                    </w:rPr>
                    <w:t xml:space="preserve">.  </w:t>
                  </w:r>
                  <w:r>
                    <w:rPr>
                      <w:sz w:val="22"/>
                      <w:szCs w:val="22"/>
                    </w:rPr>
                    <w:t>C</w:t>
                  </w:r>
                  <w:r w:rsidR="00466F79">
                    <w:rPr>
                      <w:sz w:val="22"/>
                      <w:szCs w:val="22"/>
                    </w:rPr>
                    <w:t xml:space="preserve">onservation </w:t>
                  </w:r>
                  <w:r>
                    <w:rPr>
                      <w:sz w:val="22"/>
                      <w:szCs w:val="22"/>
                    </w:rPr>
                    <w:t xml:space="preserve">is </w:t>
                  </w:r>
                  <w:r w:rsidR="00466F79">
                    <w:rPr>
                      <w:sz w:val="22"/>
                      <w:szCs w:val="22"/>
                    </w:rPr>
                    <w:t>a good first step</w:t>
                  </w:r>
                  <w:r>
                    <w:rPr>
                      <w:sz w:val="22"/>
                      <w:szCs w:val="22"/>
                    </w:rPr>
                    <w:t xml:space="preserve">, but </w:t>
                  </w:r>
                  <w:r w:rsidR="00466F79">
                    <w:rPr>
                      <w:sz w:val="22"/>
                      <w:szCs w:val="22"/>
                    </w:rPr>
                    <w:t xml:space="preserve">surface or ground water storage </w:t>
                  </w:r>
                  <w:r>
                    <w:rPr>
                      <w:sz w:val="22"/>
                      <w:szCs w:val="22"/>
                    </w:rPr>
                    <w:t xml:space="preserve">is </w:t>
                  </w:r>
                  <w:r w:rsidR="00466F79">
                    <w:rPr>
                      <w:sz w:val="22"/>
                      <w:szCs w:val="22"/>
                    </w:rPr>
                    <w:t>going to be ne</w:t>
                  </w:r>
                  <w:r>
                    <w:rPr>
                      <w:sz w:val="22"/>
                      <w:szCs w:val="22"/>
                    </w:rPr>
                    <w:t xml:space="preserve">cessary </w:t>
                  </w:r>
                  <w:r w:rsidR="00466F79">
                    <w:rPr>
                      <w:sz w:val="22"/>
                      <w:szCs w:val="22"/>
                    </w:rPr>
                    <w:t>sometime in the future.  Cloud seeding was not a high priority</w:t>
                  </w:r>
                  <w:r>
                    <w:rPr>
                      <w:sz w:val="22"/>
                      <w:szCs w:val="22"/>
                    </w:rPr>
                    <w:t>, but the committee agreed that ir</w:t>
                  </w:r>
                  <w:r w:rsidR="00466F79">
                    <w:rPr>
                      <w:sz w:val="22"/>
                      <w:szCs w:val="22"/>
                    </w:rPr>
                    <w:t xml:space="preserve">rigation companies and Idaho Power </w:t>
                  </w:r>
                  <w:r>
                    <w:rPr>
                      <w:sz w:val="22"/>
                      <w:szCs w:val="22"/>
                    </w:rPr>
                    <w:t>should continue to further explo</w:t>
                  </w:r>
                  <w:r w:rsidR="00850834">
                    <w:rPr>
                      <w:sz w:val="22"/>
                      <w:szCs w:val="22"/>
                    </w:rPr>
                    <w:t>r</w:t>
                  </w:r>
                  <w:r>
                    <w:rPr>
                      <w:sz w:val="22"/>
                      <w:szCs w:val="22"/>
                    </w:rPr>
                    <w:t>e</w:t>
                  </w:r>
                  <w:r w:rsidR="00850834">
                    <w:rPr>
                      <w:sz w:val="22"/>
                      <w:szCs w:val="22"/>
                    </w:rPr>
                    <w:t xml:space="preserve"> this issue.  </w:t>
                  </w:r>
                  <w:r>
                    <w:rPr>
                      <w:sz w:val="22"/>
                      <w:szCs w:val="22"/>
                    </w:rPr>
                    <w:t>Likewise g</w:t>
                  </w:r>
                  <w:r w:rsidR="00850834">
                    <w:rPr>
                      <w:sz w:val="22"/>
                      <w:szCs w:val="22"/>
                    </w:rPr>
                    <w:t xml:space="preserve">eothermal </w:t>
                  </w:r>
                  <w:r>
                    <w:rPr>
                      <w:sz w:val="22"/>
                      <w:szCs w:val="22"/>
                    </w:rPr>
                    <w:t>r</w:t>
                  </w:r>
                  <w:r w:rsidR="00850834">
                    <w:rPr>
                      <w:sz w:val="22"/>
                      <w:szCs w:val="22"/>
                    </w:rPr>
                    <w:t xml:space="preserve">esources </w:t>
                  </w:r>
                  <w:r>
                    <w:rPr>
                      <w:sz w:val="22"/>
                      <w:szCs w:val="22"/>
                    </w:rPr>
                    <w:t xml:space="preserve">are not a high priority because of their limited geographic distribution, the quantity available, and usage being restricted to heating due to low temperature.  </w:t>
                  </w:r>
                  <w:r w:rsidR="00850834">
                    <w:rPr>
                      <w:sz w:val="22"/>
                      <w:szCs w:val="22"/>
                    </w:rPr>
                    <w:t>Water marketing generated much discussion between the groups</w:t>
                  </w:r>
                  <w:r>
                    <w:rPr>
                      <w:sz w:val="22"/>
                      <w:szCs w:val="22"/>
                    </w:rPr>
                    <w:t xml:space="preserve"> with opinions split over the advisability of relying on water rentals to provide a long-term supply.  </w:t>
                  </w:r>
                  <w:r w:rsidR="00C93CE1">
                    <w:rPr>
                      <w:sz w:val="22"/>
                      <w:szCs w:val="22"/>
                    </w:rPr>
                    <w:t xml:space="preserve">            </w:t>
                  </w:r>
                </w:p>
                <w:p w:rsidR="00F51F8C" w:rsidRDefault="00FA0170" w:rsidP="00F634AA">
                  <w:pPr>
                    <w:pStyle w:val="Default"/>
                    <w:ind w:firstLine="720"/>
                    <w:jc w:val="both"/>
                    <w:rPr>
                      <w:sz w:val="22"/>
                      <w:szCs w:val="22"/>
                    </w:rPr>
                  </w:pPr>
                  <w:r>
                    <w:rPr>
                      <w:sz w:val="22"/>
                      <w:szCs w:val="22"/>
                    </w:rPr>
                    <w:t xml:space="preserve">In the afternoon session, </w:t>
                  </w:r>
                  <w:r w:rsidR="00CF3AE3">
                    <w:rPr>
                      <w:sz w:val="22"/>
                      <w:szCs w:val="22"/>
                    </w:rPr>
                    <w:t>the Advisory Committee heard presentations on climate variability and recharge.  According to the “</w:t>
                  </w:r>
                  <w:r w:rsidR="00C93CE1">
                    <w:rPr>
                      <w:sz w:val="22"/>
                      <w:szCs w:val="22"/>
                    </w:rPr>
                    <w:t>Climate Variability</w:t>
                  </w:r>
                  <w:r w:rsidR="00CF5C12">
                    <w:rPr>
                      <w:sz w:val="22"/>
                      <w:szCs w:val="22"/>
                    </w:rPr>
                    <w:t xml:space="preserve"> Impact Studies in the Treasure Valley </w:t>
                  </w:r>
                  <w:r w:rsidR="00CF3AE3">
                    <w:rPr>
                      <w:sz w:val="22"/>
                      <w:szCs w:val="22"/>
                    </w:rPr>
                    <w:t>R</w:t>
                  </w:r>
                  <w:r w:rsidR="00CF5C12">
                    <w:rPr>
                      <w:sz w:val="22"/>
                      <w:szCs w:val="22"/>
                    </w:rPr>
                    <w:t>egion</w:t>
                  </w:r>
                  <w:r w:rsidR="00CF3AE3">
                    <w:rPr>
                      <w:sz w:val="22"/>
                      <w:szCs w:val="22"/>
                    </w:rPr>
                    <w:t xml:space="preserve">”, prepared and presented by </w:t>
                  </w:r>
                  <w:r w:rsidR="00CF5C12">
                    <w:rPr>
                      <w:sz w:val="22"/>
                      <w:szCs w:val="22"/>
                    </w:rPr>
                    <w:t xml:space="preserve">V. Sridhar, </w:t>
                  </w:r>
                  <w:r w:rsidR="00CF3AE3">
                    <w:rPr>
                      <w:sz w:val="22"/>
                      <w:szCs w:val="22"/>
                    </w:rPr>
                    <w:t xml:space="preserve">a </w:t>
                  </w:r>
                  <w:r w:rsidR="00CF5C12">
                    <w:rPr>
                      <w:sz w:val="22"/>
                      <w:szCs w:val="22"/>
                    </w:rPr>
                    <w:t>BSU Assistant Professor</w:t>
                  </w:r>
                  <w:r w:rsidR="00CF3AE3">
                    <w:rPr>
                      <w:sz w:val="22"/>
                      <w:szCs w:val="22"/>
                    </w:rPr>
                    <w:t>, c</w:t>
                  </w:r>
                  <w:r w:rsidR="00CF5C12">
                    <w:rPr>
                      <w:sz w:val="22"/>
                      <w:szCs w:val="22"/>
                    </w:rPr>
                    <w:t xml:space="preserve">limate models predict precipitation and temperature changes for the </w:t>
                  </w:r>
                  <w:r w:rsidR="00CF3AE3">
                    <w:rPr>
                      <w:sz w:val="22"/>
                      <w:szCs w:val="22"/>
                    </w:rPr>
                    <w:t xml:space="preserve">area.  </w:t>
                  </w:r>
                  <w:r w:rsidR="00AD04DA">
                    <w:rPr>
                      <w:sz w:val="22"/>
                      <w:szCs w:val="22"/>
                    </w:rPr>
                    <w:t>On average, changes in precipitation ran</w:t>
                  </w:r>
                  <w:r w:rsidR="00AD2C10">
                    <w:rPr>
                      <w:sz w:val="22"/>
                      <w:szCs w:val="22"/>
                    </w:rPr>
                    <w:t>g</w:t>
                  </w:r>
                  <w:r w:rsidR="00AD04DA">
                    <w:rPr>
                      <w:sz w:val="22"/>
                      <w:szCs w:val="22"/>
                    </w:rPr>
                    <w:t>ed between -3.8</w:t>
                  </w:r>
                  <w:r w:rsidR="00B513B8">
                    <w:rPr>
                      <w:sz w:val="22"/>
                      <w:szCs w:val="22"/>
                    </w:rPr>
                    <w:t>% and</w:t>
                  </w:r>
                  <w:r w:rsidR="00AD04DA">
                    <w:rPr>
                      <w:sz w:val="22"/>
                      <w:szCs w:val="22"/>
                    </w:rPr>
                    <w:t xml:space="preserve"> </w:t>
                  </w:r>
                  <w:r w:rsidR="00CF3AE3">
                    <w:rPr>
                      <w:sz w:val="22"/>
                      <w:szCs w:val="22"/>
                    </w:rPr>
                    <w:t>+</w:t>
                  </w:r>
                  <w:r w:rsidR="00AD04DA">
                    <w:rPr>
                      <w:sz w:val="22"/>
                      <w:szCs w:val="22"/>
                    </w:rPr>
                    <w:t>3</w:t>
                  </w:r>
                  <w:r w:rsidR="00AD2C10">
                    <w:rPr>
                      <w:sz w:val="22"/>
                      <w:szCs w:val="22"/>
                    </w:rPr>
                    <w:t>.</w:t>
                  </w:r>
                  <w:r w:rsidR="00AD04DA">
                    <w:rPr>
                      <w:sz w:val="22"/>
                      <w:szCs w:val="22"/>
                    </w:rPr>
                    <w:t xml:space="preserve">6%. Changes in temperature are expected to be between .02 and 3.9 Centigrade.  Thus, the high flows in the future will probably be higher than historic high flows.  The peak flows will be earlier.  Notably, the low flows are expected to be lower than historic low flows.  </w:t>
                  </w:r>
                  <w:r w:rsidR="00CF3AE3">
                    <w:rPr>
                      <w:sz w:val="22"/>
                      <w:szCs w:val="22"/>
                    </w:rPr>
                    <w:t>What that means is that, if the spring freshet is higher, but comes earlier as flood flow, it will not be useful for irrig</w:t>
                  </w:r>
                  <w:r w:rsidR="00AD04DA">
                    <w:rPr>
                      <w:sz w:val="22"/>
                      <w:szCs w:val="22"/>
                    </w:rPr>
                    <w:t xml:space="preserve">ation purposes.  </w:t>
                  </w:r>
                  <w:r w:rsidR="00CF3AE3">
                    <w:rPr>
                      <w:sz w:val="22"/>
                      <w:szCs w:val="22"/>
                    </w:rPr>
                    <w:t xml:space="preserve">And, in dry periods, when lows are projected to be lower than historic lows, water shortages will be more extreme.  </w:t>
                  </w:r>
                </w:p>
                <w:p w:rsidR="00835E69" w:rsidRDefault="00CF3AE3" w:rsidP="00F634AA">
                  <w:pPr>
                    <w:pStyle w:val="Default"/>
                    <w:ind w:firstLine="720"/>
                    <w:jc w:val="both"/>
                    <w:rPr>
                      <w:sz w:val="22"/>
                      <w:szCs w:val="22"/>
                    </w:rPr>
                  </w:pPr>
                  <w:r>
                    <w:rPr>
                      <w:sz w:val="22"/>
                      <w:szCs w:val="22"/>
                    </w:rPr>
                    <w:t xml:space="preserve">IDWR’s Neil Farmer presented a preliminary assessment </w:t>
                  </w:r>
                  <w:r w:rsidR="00FE45C6">
                    <w:rPr>
                      <w:sz w:val="22"/>
                      <w:szCs w:val="22"/>
                    </w:rPr>
                    <w:t xml:space="preserve">on the feasibility of </w:t>
                  </w:r>
                  <w:r w:rsidR="00B513B8">
                    <w:rPr>
                      <w:sz w:val="22"/>
                      <w:szCs w:val="22"/>
                    </w:rPr>
                    <w:t>aquifer recharge</w:t>
                  </w:r>
                  <w:r w:rsidR="00FE45C6">
                    <w:rPr>
                      <w:sz w:val="22"/>
                      <w:szCs w:val="22"/>
                    </w:rPr>
                    <w:t xml:space="preserve"> in the </w:t>
                  </w:r>
                  <w:r w:rsidR="00F51F8C">
                    <w:rPr>
                      <w:sz w:val="22"/>
                      <w:szCs w:val="22"/>
                    </w:rPr>
                    <w:t>Treasure Valley</w:t>
                  </w:r>
                  <w:r w:rsidR="00FE45C6">
                    <w:rPr>
                      <w:sz w:val="22"/>
                      <w:szCs w:val="22"/>
                    </w:rPr>
                    <w:t xml:space="preserve">.  </w:t>
                  </w:r>
                  <w:r w:rsidR="00F51F8C">
                    <w:rPr>
                      <w:sz w:val="22"/>
                      <w:szCs w:val="22"/>
                    </w:rPr>
                    <w:t xml:space="preserve"> </w:t>
                  </w:r>
                  <w:r w:rsidR="00FE45C6">
                    <w:rPr>
                      <w:sz w:val="22"/>
                      <w:szCs w:val="22"/>
                    </w:rPr>
                    <w:t xml:space="preserve">The presence of the shallow aquifer and underlying geological formations limits the use and location of recharge to specific areas.   It does appear that roughly 200,000 acre-feet of recharge could raise water levels in the regional aquifer, but more information is needed to determine the holding capacity of the shallow aquifer and to avoid problems such as land slides and flooding foundations when the water table is raised.  The conditions that would be most conducive for recharge appear to exist south of Boise and the best area </w:t>
                  </w:r>
                  <w:r w:rsidR="00F51F8C">
                    <w:rPr>
                      <w:sz w:val="22"/>
                      <w:szCs w:val="22"/>
                    </w:rPr>
                    <w:t xml:space="preserve">for recharge </w:t>
                  </w:r>
                  <w:r w:rsidR="00FE45C6">
                    <w:rPr>
                      <w:sz w:val="22"/>
                      <w:szCs w:val="22"/>
                    </w:rPr>
                    <w:t>appears to be s</w:t>
                  </w:r>
                  <w:r w:rsidR="00F51F8C">
                    <w:rPr>
                      <w:sz w:val="22"/>
                      <w:szCs w:val="22"/>
                    </w:rPr>
                    <w:t xml:space="preserve">outheast of Kuna where the depth to water is 150 to 300 foot.  </w:t>
                  </w:r>
                  <w:r w:rsidR="00FE45C6">
                    <w:rPr>
                      <w:sz w:val="22"/>
                      <w:szCs w:val="22"/>
                    </w:rPr>
                    <w:t xml:space="preserve">The </w:t>
                  </w:r>
                  <w:r w:rsidR="00485170">
                    <w:rPr>
                      <w:sz w:val="22"/>
                      <w:szCs w:val="22"/>
                    </w:rPr>
                    <w:t>two most likely method</w:t>
                  </w:r>
                  <w:r w:rsidR="00FE45C6">
                    <w:rPr>
                      <w:sz w:val="22"/>
                      <w:szCs w:val="22"/>
                    </w:rPr>
                    <w:t xml:space="preserve">s for recharge would probably be to use </w:t>
                  </w:r>
                  <w:r w:rsidR="00485170">
                    <w:rPr>
                      <w:sz w:val="22"/>
                      <w:szCs w:val="22"/>
                    </w:rPr>
                    <w:t>seepage basins or injections wells</w:t>
                  </w:r>
                  <w:r w:rsidR="00FE45C6">
                    <w:rPr>
                      <w:sz w:val="22"/>
                      <w:szCs w:val="22"/>
                    </w:rPr>
                    <w:t xml:space="preserve">.  </w:t>
                  </w:r>
                </w:p>
                <w:p w:rsidR="002C2197" w:rsidRDefault="00E55D2B" w:rsidP="00F634AA">
                  <w:pPr>
                    <w:pStyle w:val="Default"/>
                    <w:ind w:firstLine="720"/>
                    <w:jc w:val="both"/>
                    <w:rPr>
                      <w:sz w:val="22"/>
                      <w:szCs w:val="22"/>
                    </w:rPr>
                  </w:pPr>
                  <w:r>
                    <w:rPr>
                      <w:sz w:val="22"/>
                      <w:szCs w:val="22"/>
                    </w:rPr>
                    <w:t xml:space="preserve">Advisory Committee member and Micron Technology employee </w:t>
                  </w:r>
                  <w:r w:rsidR="00B513B8">
                    <w:rPr>
                      <w:sz w:val="22"/>
                      <w:szCs w:val="22"/>
                    </w:rPr>
                    <w:t>Michelle</w:t>
                  </w:r>
                  <w:r>
                    <w:rPr>
                      <w:sz w:val="22"/>
                      <w:szCs w:val="22"/>
                    </w:rPr>
                    <w:t xml:space="preserve"> Atkinson reported on </w:t>
                  </w:r>
                  <w:r w:rsidR="00B513B8">
                    <w:rPr>
                      <w:sz w:val="22"/>
                      <w:szCs w:val="22"/>
                    </w:rPr>
                    <w:t>the Aquifer</w:t>
                  </w:r>
                  <w:r w:rsidR="00F31AA1">
                    <w:rPr>
                      <w:sz w:val="22"/>
                      <w:szCs w:val="22"/>
                    </w:rPr>
                    <w:t xml:space="preserve"> Recharge and Recovery (ARR)</w:t>
                  </w:r>
                  <w:r>
                    <w:rPr>
                      <w:sz w:val="22"/>
                      <w:szCs w:val="22"/>
                    </w:rPr>
                    <w:t xml:space="preserve"> project that is jointly owned by </w:t>
                  </w:r>
                  <w:r w:rsidR="00F31AA1">
                    <w:rPr>
                      <w:sz w:val="22"/>
                      <w:szCs w:val="22"/>
                    </w:rPr>
                    <w:t>Micron</w:t>
                  </w:r>
                  <w:r>
                    <w:rPr>
                      <w:sz w:val="22"/>
                      <w:szCs w:val="22"/>
                    </w:rPr>
                    <w:t>/S</w:t>
                  </w:r>
                  <w:r w:rsidR="00F31AA1">
                    <w:rPr>
                      <w:sz w:val="22"/>
                      <w:szCs w:val="22"/>
                    </w:rPr>
                    <w:t xml:space="preserve">implot and United Water.  </w:t>
                  </w:r>
                  <w:r>
                    <w:rPr>
                      <w:sz w:val="22"/>
                      <w:szCs w:val="22"/>
                    </w:rPr>
                    <w:t xml:space="preserve">Pumped water is treated for industrial purposes and then re-injected back into the aquifer.  </w:t>
                  </w:r>
                  <w:r w:rsidR="001605C5">
                    <w:rPr>
                      <w:sz w:val="22"/>
                      <w:szCs w:val="22"/>
                    </w:rPr>
                    <w:t>Th</w:t>
                  </w:r>
                  <w:r w:rsidR="00F634AA">
                    <w:rPr>
                      <w:sz w:val="22"/>
                      <w:szCs w:val="22"/>
                    </w:rPr>
                    <w:t>e injection program</w:t>
                  </w:r>
                  <w:r w:rsidR="001605C5">
                    <w:rPr>
                      <w:sz w:val="22"/>
                      <w:szCs w:val="22"/>
                    </w:rPr>
                    <w:t xml:space="preserve"> has stabilized the water levels</w:t>
                  </w:r>
                  <w:r w:rsidR="00F634AA">
                    <w:rPr>
                      <w:sz w:val="22"/>
                      <w:szCs w:val="22"/>
                    </w:rPr>
                    <w:t>,</w:t>
                  </w:r>
                  <w:r w:rsidR="001605C5">
                    <w:rPr>
                      <w:sz w:val="22"/>
                      <w:szCs w:val="22"/>
                    </w:rPr>
                    <w:t xml:space="preserve"> augmented local groundwater supply</w:t>
                  </w:r>
                  <w:r w:rsidR="00F634AA">
                    <w:rPr>
                      <w:sz w:val="22"/>
                      <w:szCs w:val="22"/>
                    </w:rPr>
                    <w:t>,</w:t>
                  </w:r>
                  <w:r w:rsidR="001605C5">
                    <w:rPr>
                      <w:sz w:val="22"/>
                      <w:szCs w:val="22"/>
                    </w:rPr>
                    <w:t xml:space="preserve"> and maintain</w:t>
                  </w:r>
                  <w:r>
                    <w:rPr>
                      <w:sz w:val="22"/>
                      <w:szCs w:val="22"/>
                    </w:rPr>
                    <w:t>ed</w:t>
                  </w:r>
                  <w:r w:rsidR="001605C5">
                    <w:rPr>
                      <w:sz w:val="22"/>
                      <w:szCs w:val="22"/>
                    </w:rPr>
                    <w:t xml:space="preserve"> existing ground water quality.    </w:t>
                  </w:r>
                </w:p>
                <w:p w:rsidR="00F634AA" w:rsidRDefault="00E55D2B" w:rsidP="00F634AA">
                  <w:pPr>
                    <w:pStyle w:val="Default"/>
                    <w:ind w:firstLine="720"/>
                    <w:jc w:val="both"/>
                    <w:rPr>
                      <w:sz w:val="22"/>
                      <w:szCs w:val="22"/>
                    </w:rPr>
                  </w:pPr>
                  <w:r>
                    <w:rPr>
                      <w:sz w:val="22"/>
                      <w:szCs w:val="22"/>
                    </w:rPr>
                    <w:t xml:space="preserve">Using two IWRB water rights, 185,944 acre-feet was recharged in 2009-2010 at a </w:t>
                  </w:r>
                  <w:r w:rsidR="00FC532D">
                    <w:rPr>
                      <w:sz w:val="22"/>
                      <w:szCs w:val="22"/>
                    </w:rPr>
                    <w:t>$3/ac</w:t>
                  </w:r>
                  <w:r>
                    <w:rPr>
                      <w:sz w:val="22"/>
                      <w:szCs w:val="22"/>
                    </w:rPr>
                    <w:t>re</w:t>
                  </w:r>
                  <w:r w:rsidR="00FC532D">
                    <w:rPr>
                      <w:sz w:val="22"/>
                      <w:szCs w:val="22"/>
                    </w:rPr>
                    <w:t>-f</w:t>
                  </w:r>
                  <w:r>
                    <w:rPr>
                      <w:sz w:val="22"/>
                      <w:szCs w:val="22"/>
                    </w:rPr>
                    <w:t>oo</w:t>
                  </w:r>
                  <w:r w:rsidR="00FC532D">
                    <w:rPr>
                      <w:sz w:val="22"/>
                      <w:szCs w:val="22"/>
                    </w:rPr>
                    <w:t>t</w:t>
                  </w:r>
                  <w:r>
                    <w:rPr>
                      <w:sz w:val="22"/>
                      <w:szCs w:val="22"/>
                    </w:rPr>
                    <w:t xml:space="preserve"> on the Eastern Snake Plain Aquifer</w:t>
                  </w:r>
                  <w:r w:rsidR="00FC532D">
                    <w:rPr>
                      <w:sz w:val="22"/>
                      <w:szCs w:val="22"/>
                    </w:rPr>
                    <w:t xml:space="preserve">.  </w:t>
                  </w:r>
                  <w:r>
                    <w:rPr>
                      <w:sz w:val="22"/>
                      <w:szCs w:val="22"/>
                    </w:rPr>
                    <w:t xml:space="preserve">IDWR Recharge Coordinator Bill Quinn concurred with Farmer that a </w:t>
                  </w:r>
                  <w:r w:rsidR="00FC532D">
                    <w:rPr>
                      <w:sz w:val="22"/>
                      <w:szCs w:val="22"/>
                    </w:rPr>
                    <w:t xml:space="preserve">successful managed recharge program is highly dependent on local conditions.  </w:t>
                  </w:r>
                </w:p>
                <w:p w:rsidR="002C2197" w:rsidRDefault="002C2197" w:rsidP="002C2197">
                  <w:pPr>
                    <w:pStyle w:val="Default"/>
                    <w:jc w:val="both"/>
                    <w:rPr>
                      <w:sz w:val="22"/>
                      <w:szCs w:val="22"/>
                    </w:rPr>
                  </w:pPr>
                </w:p>
                <w:p w:rsidR="002C2197" w:rsidRDefault="002C2197" w:rsidP="00AD04DA">
                  <w:pPr>
                    <w:pStyle w:val="Default"/>
                    <w:ind w:left="720"/>
                    <w:jc w:val="both"/>
                    <w:rPr>
                      <w:sz w:val="22"/>
                      <w:szCs w:val="22"/>
                    </w:rPr>
                  </w:pPr>
                </w:p>
                <w:p w:rsidR="00F51F8C" w:rsidRDefault="00F51F8C" w:rsidP="00AD04DA">
                  <w:pPr>
                    <w:pStyle w:val="Default"/>
                    <w:ind w:left="720"/>
                    <w:jc w:val="both"/>
                    <w:rPr>
                      <w:sz w:val="22"/>
                      <w:szCs w:val="22"/>
                    </w:rPr>
                  </w:pPr>
                  <w:r>
                    <w:rPr>
                      <w:sz w:val="22"/>
                      <w:szCs w:val="22"/>
                    </w:rPr>
                    <w:t xml:space="preserve">     </w:t>
                  </w:r>
                </w:p>
                <w:p w:rsidR="00AD04DA" w:rsidRDefault="00AD04DA" w:rsidP="00333628">
                  <w:pPr>
                    <w:pStyle w:val="Default"/>
                    <w:ind w:hanging="720"/>
                    <w:jc w:val="both"/>
                    <w:rPr>
                      <w:sz w:val="22"/>
                      <w:szCs w:val="22"/>
                    </w:rPr>
                  </w:pPr>
                  <w:r>
                    <w:rPr>
                      <w:sz w:val="22"/>
                      <w:szCs w:val="22"/>
                    </w:rPr>
                    <w:t xml:space="preserve">  </w:t>
                  </w:r>
                </w:p>
                <w:p w:rsidR="00AD04DA" w:rsidRDefault="00AD04DA" w:rsidP="00333628">
                  <w:pPr>
                    <w:pStyle w:val="Default"/>
                    <w:ind w:hanging="720"/>
                    <w:jc w:val="both"/>
                    <w:rPr>
                      <w:sz w:val="22"/>
                      <w:szCs w:val="22"/>
                    </w:rPr>
                  </w:pPr>
                  <w:r>
                    <w:rPr>
                      <w:sz w:val="22"/>
                      <w:szCs w:val="22"/>
                    </w:rPr>
                    <w:tab/>
                  </w:r>
                </w:p>
                <w:p w:rsidR="00AD04DA" w:rsidRDefault="00AD04DA" w:rsidP="00333628">
                  <w:pPr>
                    <w:pStyle w:val="Default"/>
                    <w:ind w:hanging="720"/>
                    <w:jc w:val="both"/>
                    <w:rPr>
                      <w:sz w:val="22"/>
                      <w:szCs w:val="22"/>
                    </w:rPr>
                  </w:pPr>
                </w:p>
                <w:p w:rsidR="00AD04DA" w:rsidRDefault="00AD04DA" w:rsidP="00333628">
                  <w:pPr>
                    <w:pStyle w:val="Default"/>
                    <w:ind w:hanging="720"/>
                    <w:jc w:val="both"/>
                    <w:rPr>
                      <w:sz w:val="22"/>
                      <w:szCs w:val="22"/>
                    </w:rPr>
                  </w:pPr>
                </w:p>
                <w:p w:rsidR="00C93CE1" w:rsidRDefault="00AD04DA" w:rsidP="00333628">
                  <w:pPr>
                    <w:pStyle w:val="Default"/>
                    <w:ind w:hanging="720"/>
                    <w:jc w:val="both"/>
                    <w:rPr>
                      <w:sz w:val="22"/>
                      <w:szCs w:val="22"/>
                    </w:rPr>
                  </w:pPr>
                  <w:r>
                    <w:rPr>
                      <w:sz w:val="22"/>
                      <w:szCs w:val="22"/>
                    </w:rPr>
                    <w:t xml:space="preserve">    </w:t>
                  </w:r>
                  <w:r w:rsidR="00C93CE1">
                    <w:rPr>
                      <w:sz w:val="22"/>
                      <w:szCs w:val="22"/>
                    </w:rPr>
                    <w:t xml:space="preserve">  </w:t>
                  </w:r>
                </w:p>
                <w:p w:rsidR="00333628" w:rsidRDefault="00850834" w:rsidP="00333628">
                  <w:pPr>
                    <w:pStyle w:val="Default"/>
                    <w:ind w:hanging="720"/>
                    <w:jc w:val="both"/>
                    <w:rPr>
                      <w:sz w:val="22"/>
                      <w:szCs w:val="22"/>
                    </w:rPr>
                  </w:pPr>
                  <w:r>
                    <w:rPr>
                      <w:sz w:val="22"/>
                      <w:szCs w:val="22"/>
                    </w:rPr>
                    <w:t xml:space="preserve">   </w:t>
                  </w:r>
                </w:p>
                <w:p w:rsidR="00850834" w:rsidRDefault="00850834" w:rsidP="00333628">
                  <w:pPr>
                    <w:pStyle w:val="Default"/>
                    <w:ind w:hanging="720"/>
                    <w:jc w:val="both"/>
                    <w:rPr>
                      <w:sz w:val="22"/>
                      <w:szCs w:val="22"/>
                    </w:rPr>
                  </w:pPr>
                </w:p>
                <w:p w:rsidR="00744FCD" w:rsidRDefault="00744FCD" w:rsidP="00333628">
                  <w:pPr>
                    <w:pStyle w:val="Default"/>
                    <w:ind w:hanging="720"/>
                    <w:jc w:val="both"/>
                    <w:rPr>
                      <w:sz w:val="22"/>
                      <w:szCs w:val="22"/>
                    </w:rPr>
                  </w:pPr>
                  <w:r>
                    <w:rPr>
                      <w:sz w:val="22"/>
                      <w:szCs w:val="22"/>
                    </w:rPr>
                    <w:t xml:space="preserve">  </w:t>
                  </w:r>
                </w:p>
                <w:p w:rsidR="0020558C" w:rsidRPr="00A60F6B" w:rsidRDefault="0060182C" w:rsidP="00744FCD">
                  <w:pPr>
                    <w:pStyle w:val="Default"/>
                    <w:rPr>
                      <w:bCs/>
                      <w:i/>
                      <w:iCs/>
                      <w:sz w:val="22"/>
                      <w:szCs w:val="22"/>
                    </w:rPr>
                  </w:pPr>
                  <w:r>
                    <w:rPr>
                      <w:sz w:val="22"/>
                      <w:szCs w:val="22"/>
                    </w:rPr>
                    <w:t xml:space="preserve">  </w:t>
                  </w:r>
                </w:p>
              </w:txbxContent>
            </v:textbox>
          </v:shape>
        </w:pict>
      </w:r>
      <w:r w:rsidRPr="00BC2C5B">
        <w:rPr>
          <w:color w:val="auto"/>
          <w:kern w:val="0"/>
          <w:sz w:val="24"/>
          <w:szCs w:val="24"/>
        </w:rPr>
        <w:pict>
          <v:line id="_x0000_s1034" style="position:absolute;z-index:251654656;mso-wrap-distance-left:2.88pt;mso-wrap-distance-top:2.88pt;mso-wrap-distance-right:2.88pt;mso-wrap-distance-bottom:2.88pt" from="117pt,36pt" to="117pt,743.95pt" fillcolor="black" strokecolor="navy" strokeweight=".25pt">
            <v:shadow color="#ccc"/>
          </v:line>
        </w:pict>
      </w:r>
      <w:r w:rsidRPr="00BC2C5B">
        <w:rPr>
          <w:color w:val="auto"/>
          <w:kern w:val="0"/>
          <w:sz w:val="24"/>
          <w:szCs w:val="24"/>
        </w:rPr>
        <w:pict>
          <v:group id="_x0000_s1026" style="position:absolute;margin-left:-18pt;margin-top:36pt;width:108pt;height:128.25pt;z-index:251653632" coordorigin="196360,182880" coordsize="9043,13144">
            <v:rect id="_x0000_s1027" style="position:absolute;left:196360;top:182880;width:9044;height:13144;visibility:hidden;mso-wrap-distance-left:2.88pt;mso-wrap-distance-top:2.88pt;mso-wrap-distance-right:2.88pt;mso-wrap-distance-bottom:2.88pt" filled="f" fillcolor="black" stroked="f" strokeweight="0" insetpen="t">
              <v:imagedata cropbottom="16777215f" cropright="16777215f"/>
              <v:shadow color="#ccc"/>
              <v:path gradientshapeok="f" o:connecttype="segments"/>
              <o:lock v:ext="edit" shapetype="t"/>
              <v:textbox inset="2.88pt,2.88pt,2.88pt,2.88pt"/>
            </v:rect>
            <v:rect id="_x0000_s1028" style="position:absolute;left:200876;top:193911;width:2987;height:1419;mso-wrap-distance-left:2.88pt;mso-wrap-distance-top:2.88pt;mso-wrap-distance-right:2.88pt;mso-wrap-distance-bottom:2.88pt" fillcolor="#cc9" stroked="f" strokeweight="0" insetpen="t">
              <v:shadow color="#ccc"/>
              <o:lock v:ext="edit" shapetype="t"/>
              <v:textbox style="mso-next-textbox:#_x0000_s1028;mso-column-margin:5.76pt" inset="2.88pt,2.88pt,2.88pt,2.88pt">
                <w:txbxContent>
                  <w:p w:rsidR="00520DE9" w:rsidRDefault="00520DE9" w:rsidP="00520DE9">
                    <w:pPr>
                      <w:widowControl w:val="0"/>
                      <w:ind w:left="-180" w:hanging="40"/>
                    </w:pPr>
                    <w:r>
                      <w:t>e</w:t>
                    </w:r>
                    <w:r w:rsidR="006C00C5">
                      <w:t>nenergy</w:t>
                    </w:r>
                  </w:p>
                </w:txbxContent>
              </v:textbox>
            </v:rect>
            <v:rect id="_x0000_s1029" style="position:absolute;left:197900;top:183584;width:2988;height:1420;mso-wrap-distance-left:2.88pt;mso-wrap-distance-top:2.88pt;mso-wrap-distance-right:2.88pt;mso-wrap-distance-bottom:2.88pt" fillcolor="navy" stroked="f" strokeweight="0" insetpen="t">
              <v:shadow color="#ccc"/>
              <o:lock v:ext="edit" shapetype="t"/>
              <v:textbox style="mso-next-textbox:#_x0000_s1029;mso-column-margin:5.76pt" inset="2.88pt,2.88pt,2.88pt,2.88pt">
                <w:txbxContent>
                  <w:p w:rsidR="00520DE9" w:rsidRDefault="00520DE9" w:rsidP="00520DE9">
                    <w:pPr>
                      <w:widowControl w:val="0"/>
                    </w:pPr>
                    <w:r>
                      <w:t>water</w:t>
                    </w:r>
                  </w:p>
                </w:txbxContent>
              </v:textbox>
            </v:rect>
            <v:line id="_x0000_s1030" style="position:absolute;mso-wrap-distance-left:2.88pt;mso-wrap-distance-top:2.88pt;mso-wrap-distance-right:2.88pt;mso-wrap-distance-bottom:2.88pt" from="200882,183267" to="200882,184985" fillcolor="black" strokecolor="#cc9" strokeweight="1.25pt">
              <v:shadow color="#ccc"/>
            </v:line>
            <v:line id="_x0000_s1031" style="position:absolute;mso-wrap-distance-left:2.88pt;mso-wrap-distance-top:2.88pt;mso-wrap-distance-right:2.88pt;mso-wrap-distance-bottom:2.88pt" from="200882,193911" to="200882,195820" fillcolor="black" strokecolor="#cc9" strokeweight="1.25pt">
              <v:shadow color="#ccc"/>
            </v:lin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32" type="#_x0000_t95" style="position:absolute;left:196445;top:185017;width:8874;height:11007;visibility:visible;mso-wrap-edited:f;mso-wrap-distance-left:2.88pt;mso-wrap-distance-top:2.88pt;mso-wrap-distance-right:2.88pt;mso-wrap-distance-bottom:2.88pt" adj="-8380740,10646" fillcolor="#cccce6" stroked="f" strokecolor="#cccce6" strokeweight="0" insetpen="t" o:cliptowrap="t">
              <v:shadow color="#ccc"/>
              <o:lock v:ext="edit" shapetype="t"/>
              <v:textbox inset="2.88pt,2.88pt,2.88pt,2.88pt"/>
            </v:shape>
            <v:shape id="_x0000_s1033" type="#_x0000_t95" style="position:absolute;left:196445;top:182880;width:8874;height:11007;flip:y;visibility:visible;mso-wrap-edited:f;mso-wrap-distance-left:2.88pt;mso-wrap-distance-top:2.88pt;mso-wrap-distance-right:2.88pt;mso-wrap-distance-bottom:2.88pt" adj="-8380740,10646" fillcolor="#cccce6" stroked="f" strokecolor="#cccce6" strokeweight="0" insetpen="t" o:cliptowrap="t">
              <v:shadow color="#ccc"/>
              <o:lock v:ext="edit" shapetype="t"/>
              <v:textbox inset="2.88pt,2.88pt,2.88pt,2.88pt"/>
            </v:shape>
          </v:group>
        </w:pict>
      </w:r>
      <w:r w:rsidRPr="00BC2C5B">
        <w:rPr>
          <w:color w:val="auto"/>
          <w:kern w:val="0"/>
          <w:sz w:val="24"/>
          <w:szCs w:val="24"/>
        </w:rPr>
        <w:pict>
          <v:shape id="_x0000_s1037" type="#_x0000_t202" style="position:absolute;margin-left:-9pt;margin-top:1in;width:103.5pt;height:59.75pt;z-index:251657728;mso-wrap-distance-left:2.88pt;mso-wrap-distance-top:2.88pt;mso-wrap-distance-right:2.88pt;mso-wrap-distance-bottom:2.88pt" stroked="f" strokeweight="0" insetpen="t">
            <v:fill color2="black"/>
            <v:stroke>
              <o:column v:ext="view" weight="0"/>
            </v:stroke>
            <v:shadow color="#ccc"/>
            <v:textbox style="mso-column-margin:5.7pt;mso-rotate-with-shape:t;mso-fit-text-to-shape:t" inset="2.85pt,2.85pt,2.85pt,2.85pt">
              <w:txbxContent>
                <w:p w:rsidR="00520DE9" w:rsidRDefault="00520DE9" w:rsidP="00520DE9">
                  <w:pPr>
                    <w:widowControl w:val="0"/>
                    <w:jc w:val="center"/>
                    <w:rPr>
                      <w:rFonts w:ascii="Tw Cen MT Condensed" w:hAnsi="Tw Cen MT Condensed"/>
                      <w:b/>
                      <w:bCs/>
                      <w:sz w:val="15"/>
                      <w:szCs w:val="15"/>
                    </w:rPr>
                  </w:pPr>
                  <w:r>
                    <w:rPr>
                      <w:rFonts w:ascii="Tw Cen MT Condensed" w:hAnsi="Tw Cen MT Condensed"/>
                      <w:b/>
                      <w:bCs/>
                      <w:sz w:val="15"/>
                      <w:szCs w:val="15"/>
                    </w:rPr>
                    <w:t>Idaho Water Policy Group, Inc.</w:t>
                  </w:r>
                </w:p>
                <w:p w:rsidR="00A4786B" w:rsidRDefault="00A4786B" w:rsidP="00520DE9">
                  <w:pPr>
                    <w:widowControl w:val="0"/>
                    <w:jc w:val="center"/>
                    <w:rPr>
                      <w:rFonts w:ascii="Tw Cen MT Condensed" w:hAnsi="Tw Cen MT Condensed"/>
                      <w:b/>
                      <w:bCs/>
                      <w:sz w:val="15"/>
                      <w:szCs w:val="15"/>
                    </w:rPr>
                  </w:pPr>
                </w:p>
                <w:p w:rsidR="00520DE9" w:rsidRDefault="00520DE9" w:rsidP="00520DE9">
                  <w:pPr>
                    <w:widowControl w:val="0"/>
                    <w:jc w:val="center"/>
                    <w:rPr>
                      <w:rFonts w:ascii="Tw Cen MT Condensed" w:hAnsi="Tw Cen MT Condensed"/>
                      <w:b/>
                      <w:bCs/>
                      <w:sz w:val="15"/>
                      <w:szCs w:val="15"/>
                    </w:rPr>
                  </w:pPr>
                  <w:r>
                    <w:rPr>
                      <w:rFonts w:ascii="Tw Cen MT Condensed" w:hAnsi="Tw Cen MT Condensed"/>
                      <w:b/>
                      <w:bCs/>
                      <w:sz w:val="15"/>
                      <w:szCs w:val="15"/>
                    </w:rPr>
                    <w:t>IGWA</w:t>
                  </w:r>
                </w:p>
                <w:p w:rsidR="00520DE9" w:rsidRDefault="00520DE9" w:rsidP="00520DE9">
                  <w:pPr>
                    <w:widowControl w:val="0"/>
                    <w:jc w:val="center"/>
                    <w:rPr>
                      <w:rFonts w:ascii="Tw Cen MT Condensed" w:hAnsi="Tw Cen MT Condensed"/>
                      <w:b/>
                      <w:bCs/>
                      <w:sz w:val="15"/>
                      <w:szCs w:val="15"/>
                    </w:rPr>
                  </w:pPr>
                  <w:r>
                    <w:rPr>
                      <w:rFonts w:ascii="Tw Cen MT Condensed" w:hAnsi="Tw Cen MT Condensed"/>
                      <w:b/>
                      <w:bCs/>
                      <w:sz w:val="15"/>
                      <w:szCs w:val="15"/>
                    </w:rPr>
                    <w:t>IIPA</w:t>
                  </w:r>
                </w:p>
                <w:p w:rsidR="00520DE9" w:rsidRDefault="00520DE9" w:rsidP="00520DE9">
                  <w:pPr>
                    <w:widowControl w:val="0"/>
                    <w:jc w:val="center"/>
                    <w:rPr>
                      <w:rFonts w:ascii="Tw Cen MT Condensed" w:hAnsi="Tw Cen MT Condensed"/>
                      <w:b/>
                      <w:bCs/>
                      <w:sz w:val="15"/>
                      <w:szCs w:val="15"/>
                    </w:rPr>
                  </w:pPr>
                  <w:r>
                    <w:rPr>
                      <w:rFonts w:ascii="Tw Cen MT Condensed" w:hAnsi="Tw Cen MT Condensed"/>
                      <w:b/>
                      <w:bCs/>
                      <w:sz w:val="15"/>
                      <w:szCs w:val="15"/>
                    </w:rPr>
                    <w:t>IRWA</w:t>
                  </w:r>
                </w:p>
                <w:p w:rsidR="00520DE9" w:rsidRDefault="00520DE9" w:rsidP="00520DE9">
                  <w:pPr>
                    <w:widowControl w:val="0"/>
                    <w:jc w:val="center"/>
                    <w:rPr>
                      <w:rFonts w:ascii="Tw Cen MT Condensed" w:hAnsi="Tw Cen MT Condensed"/>
                      <w:b/>
                      <w:bCs/>
                      <w:sz w:val="15"/>
                      <w:szCs w:val="15"/>
                    </w:rPr>
                  </w:pPr>
                </w:p>
                <w:p w:rsidR="00520DE9" w:rsidRDefault="00520DE9" w:rsidP="00520DE9">
                  <w:pPr>
                    <w:widowControl w:val="0"/>
                    <w:jc w:val="center"/>
                    <w:rPr>
                      <w:rFonts w:ascii="Tw Cen MT Condensed" w:hAnsi="Tw Cen MT Condensed"/>
                      <w:b/>
                      <w:bCs/>
                      <w:sz w:val="25"/>
                      <w:szCs w:val="25"/>
                    </w:rPr>
                  </w:pPr>
                  <w:r>
                    <w:rPr>
                      <w:rFonts w:ascii="Tw Cen MT Condensed" w:hAnsi="Tw Cen MT Condensed"/>
                      <w:b/>
                      <w:bCs/>
                      <w:sz w:val="25"/>
                      <w:szCs w:val="25"/>
                    </w:rPr>
                    <w:t> </w:t>
                  </w:r>
                </w:p>
              </w:txbxContent>
            </v:textbox>
          </v:shape>
        </w:pict>
      </w:r>
      <w:r w:rsidRPr="00BC2C5B">
        <w:rPr>
          <w:color w:val="auto"/>
          <w:kern w:val="0"/>
          <w:sz w:val="24"/>
          <w:szCs w:val="24"/>
        </w:rPr>
        <w:pict>
          <v:shape id="_x0000_s1036" type="#_x0000_t202" style="position:absolute;margin-left:-3pt;margin-top:159.75pt;width:104.7pt;height:33.75pt;z-index:251656704;mso-wrap-distance-left:2.88pt;mso-wrap-distance-top:2.88pt;mso-wrap-distance-right:2.88pt;mso-wrap-distance-bottom:2.88pt" stroked="f" strokeweight="0" insetpen="t">
            <v:fill color2="black"/>
            <v:stroke>
              <o:column v:ext="view" weight="0"/>
            </v:stroke>
            <v:shadow color="#ccc"/>
            <v:textbox style="mso-column-margin:5.7pt;mso-rotate-with-shape:t" inset="2.85pt,2.85pt,2.85pt,2.85pt">
              <w:txbxContent>
                <w:p w:rsidR="00520DE9" w:rsidRDefault="00520DE9" w:rsidP="003E499E">
                  <w:pPr>
                    <w:widowControl w:val="0"/>
                    <w:jc w:val="center"/>
                    <w:rPr>
                      <w:sz w:val="16"/>
                      <w:szCs w:val="16"/>
                    </w:rPr>
                  </w:pPr>
                  <w:r>
                    <w:rPr>
                      <w:sz w:val="16"/>
                      <w:szCs w:val="16"/>
                    </w:rPr>
                    <w:t xml:space="preserve">1109 W. Main, </w:t>
                  </w:r>
                  <w:smartTag w:uri="urn:schemas-microsoft-com:office:smarttags" w:element="address">
                    <w:smartTag w:uri="urn:schemas-microsoft-com:office:smarttags" w:element="Street">
                      <w:r>
                        <w:rPr>
                          <w:sz w:val="16"/>
                          <w:szCs w:val="16"/>
                        </w:rPr>
                        <w:t>Suite</w:t>
                      </w:r>
                    </w:smartTag>
                    <w:r>
                      <w:rPr>
                        <w:sz w:val="16"/>
                        <w:szCs w:val="16"/>
                      </w:rPr>
                      <w:t xml:space="preserve"> 300</w:t>
                    </w:r>
                  </w:smartTag>
                </w:p>
                <w:p w:rsidR="00520DE9" w:rsidRDefault="00520DE9" w:rsidP="003E499E">
                  <w:pPr>
                    <w:widowControl w:val="0"/>
                    <w:jc w:val="center"/>
                    <w:rPr>
                      <w:sz w:val="16"/>
                      <w:szCs w:val="16"/>
                    </w:rPr>
                  </w:pPr>
                  <w:smartTag w:uri="urn:schemas-microsoft-com:office:smarttags" w:element="address">
                    <w:smartTag w:uri="urn:schemas-microsoft-com:office:smarttags" w:element="Street">
                      <w:r>
                        <w:rPr>
                          <w:sz w:val="16"/>
                          <w:szCs w:val="16"/>
                        </w:rPr>
                        <w:t>P.O. Box</w:t>
                      </w:r>
                    </w:smartTag>
                    <w:r>
                      <w:rPr>
                        <w:sz w:val="16"/>
                        <w:szCs w:val="16"/>
                      </w:rPr>
                      <w:t xml:space="preserve"> 2624</w:t>
                    </w:r>
                  </w:smartTag>
                </w:p>
                <w:p w:rsidR="00520DE9" w:rsidRDefault="00520DE9" w:rsidP="003E499E">
                  <w:pPr>
                    <w:widowControl w:val="0"/>
                    <w:jc w:val="center"/>
                    <w:rPr>
                      <w:sz w:val="16"/>
                      <w:szCs w:val="16"/>
                    </w:rPr>
                  </w:pPr>
                  <w:smartTag w:uri="urn:schemas-microsoft-com:office:smarttags" w:element="place">
                    <w:smartTag w:uri="urn:schemas-microsoft-com:office:smarttags" w:element="City">
                      <w:r>
                        <w:rPr>
                          <w:sz w:val="16"/>
                          <w:szCs w:val="16"/>
                        </w:rPr>
                        <w:t>Boise</w:t>
                      </w:r>
                    </w:smartTag>
                    <w:r>
                      <w:rPr>
                        <w:sz w:val="16"/>
                        <w:szCs w:val="16"/>
                      </w:rPr>
                      <w:t xml:space="preserve">, </w:t>
                    </w:r>
                    <w:smartTag w:uri="urn:schemas-microsoft-com:office:smarttags" w:element="State">
                      <w:r>
                        <w:rPr>
                          <w:sz w:val="16"/>
                          <w:szCs w:val="16"/>
                        </w:rPr>
                        <w:t>ID</w:t>
                      </w:r>
                    </w:smartTag>
                    <w:r>
                      <w:rPr>
                        <w:sz w:val="16"/>
                        <w:szCs w:val="16"/>
                      </w:rPr>
                      <w:t xml:space="preserve">  </w:t>
                    </w:r>
                    <w:smartTag w:uri="urn:schemas-microsoft-com:office:smarttags" w:element="PostalCode">
                      <w:r>
                        <w:rPr>
                          <w:sz w:val="16"/>
                          <w:szCs w:val="16"/>
                        </w:rPr>
                        <w:t>83701-2624</w:t>
                      </w:r>
                    </w:smartTag>
                  </w:smartTag>
                </w:p>
              </w:txbxContent>
            </v:textbox>
          </v:shape>
        </w:pict>
      </w:r>
      <w:r w:rsidRPr="00BC2C5B">
        <w:rPr>
          <w:color w:val="auto"/>
          <w:kern w:val="0"/>
          <w:sz w:val="24"/>
          <w:szCs w:val="24"/>
        </w:rPr>
        <w:pict>
          <v:shape id="_x0000_s1035" type="#_x0000_t202" style="position:absolute;margin-left:-3pt;margin-top:193.5pt;width:113.7pt;height:54pt;z-index:251655680;mso-wrap-distance-left:2.88pt;mso-wrap-distance-top:2.88pt;mso-wrap-distance-right:2.88pt;mso-wrap-distance-bottom:2.88pt" stroked="f" strokeweight="0" insetpen="t">
            <v:fill color2="black"/>
            <v:stroke>
              <o:column v:ext="view" weight="0"/>
            </v:stroke>
            <v:shadow color="#ccc"/>
            <v:textbox style="mso-column-margin:5.7pt;mso-rotate-with-shape:t" inset="2.85pt,2.85pt,2.85pt,2.85pt">
              <w:txbxContent>
                <w:p w:rsidR="00520DE9" w:rsidRDefault="00520DE9" w:rsidP="00DD3BC9">
                  <w:pPr>
                    <w:widowControl w:val="0"/>
                    <w:jc w:val="center"/>
                    <w:rPr>
                      <w:sz w:val="16"/>
                      <w:szCs w:val="16"/>
                    </w:rPr>
                  </w:pPr>
                  <w:r>
                    <w:rPr>
                      <w:sz w:val="16"/>
                      <w:szCs w:val="16"/>
                    </w:rPr>
                    <w:t>Phone: 208 381-0294</w:t>
                  </w:r>
                </w:p>
                <w:p w:rsidR="00520DE9" w:rsidRDefault="00520DE9" w:rsidP="00DD3BC9">
                  <w:pPr>
                    <w:widowControl w:val="0"/>
                    <w:jc w:val="center"/>
                    <w:rPr>
                      <w:sz w:val="16"/>
                      <w:szCs w:val="16"/>
                    </w:rPr>
                  </w:pPr>
                  <w:r>
                    <w:rPr>
                      <w:sz w:val="16"/>
                      <w:szCs w:val="16"/>
                    </w:rPr>
                    <w:t>Fax: 208 381-5272</w:t>
                  </w:r>
                </w:p>
                <w:p w:rsidR="00520DE9" w:rsidRDefault="00520DE9" w:rsidP="00DD3BC9">
                  <w:pPr>
                    <w:widowControl w:val="0"/>
                    <w:jc w:val="center"/>
                    <w:rPr>
                      <w:sz w:val="16"/>
                      <w:szCs w:val="16"/>
                    </w:rPr>
                  </w:pPr>
                  <w:r>
                    <w:rPr>
                      <w:sz w:val="16"/>
                      <w:szCs w:val="16"/>
                    </w:rPr>
                    <w:t>Email: l_tominaga@hotmail.com</w:t>
                  </w:r>
                </w:p>
                <w:p w:rsidR="00520DE9" w:rsidRDefault="00520DE9" w:rsidP="00DD3BC9">
                  <w:pPr>
                    <w:widowControl w:val="0"/>
                    <w:jc w:val="center"/>
                    <w:rPr>
                      <w:sz w:val="16"/>
                      <w:szCs w:val="16"/>
                    </w:rPr>
                  </w:pPr>
                  <w:r>
                    <w:rPr>
                      <w:sz w:val="16"/>
                      <w:szCs w:val="16"/>
                    </w:rPr>
                    <w:t>btominaga@hotmail</w:t>
                  </w:r>
                  <w:r w:rsidR="000461D3">
                    <w:rPr>
                      <w:sz w:val="16"/>
                      <w:szCs w:val="16"/>
                    </w:rPr>
                    <w:t>.</w:t>
                  </w:r>
                  <w:r>
                    <w:rPr>
                      <w:sz w:val="16"/>
                      <w:szCs w:val="16"/>
                    </w:rPr>
                    <w:t>com</w:t>
                  </w:r>
                </w:p>
              </w:txbxContent>
            </v:textbox>
          </v:shape>
        </w:pict>
      </w:r>
      <w:r w:rsidRPr="00BC2C5B">
        <w:rPr>
          <w:color w:val="auto"/>
          <w:kern w:val="0"/>
          <w:sz w:val="24"/>
          <w:szCs w:val="24"/>
        </w:rPr>
        <w:pict>
          <v:shape id="_x0000_s1039" type="#_x0000_t202" style="position:absolute;margin-left:-3pt;margin-top:249.75pt;width:104.7pt;height:114.75pt;z-index:251659776;mso-wrap-distance-left:2.88pt;mso-wrap-distance-top:2.88pt;mso-wrap-distance-right:2.88pt;mso-wrap-distance-bottom:2.88pt" stroked="f" strokeweight="0" insetpen="t">
            <v:fill color2="black"/>
            <v:stroke>
              <o:column v:ext="view" weight="0"/>
            </v:stroke>
            <v:shadow color="#ccc"/>
            <v:textbox style="mso-column-margin:5.7pt;mso-rotate-with-shape:t" inset="2.85pt,2.85pt,2.85pt,2.85pt">
              <w:txbxContent>
                <w:p w:rsidR="00520DE9" w:rsidRDefault="00520DE9" w:rsidP="00520DE9">
                  <w:pPr>
                    <w:widowControl w:val="0"/>
                    <w:ind w:left="-900"/>
                    <w:rPr>
                      <w:b/>
                      <w:bCs/>
                      <w:sz w:val="28"/>
                      <w:szCs w:val="28"/>
                    </w:rPr>
                  </w:pPr>
                  <w:r>
                    <w:rPr>
                      <w:b/>
                      <w:bCs/>
                      <w:sz w:val="28"/>
                      <w:szCs w:val="28"/>
                    </w:rPr>
                    <w:t> </w:t>
                  </w:r>
                </w:p>
                <w:p w:rsidR="00520DE9" w:rsidRDefault="00520DE9" w:rsidP="00520DE9">
                  <w:pPr>
                    <w:widowControl w:val="0"/>
                    <w:rPr>
                      <w:i/>
                      <w:iCs/>
                      <w:sz w:val="24"/>
                      <w:szCs w:val="24"/>
                    </w:rPr>
                  </w:pPr>
                  <w:r>
                    <w:rPr>
                      <w:i/>
                      <w:iCs/>
                      <w:sz w:val="24"/>
                      <w:szCs w:val="24"/>
                    </w:rPr>
                    <w:t>Visit our webpage:</w:t>
                  </w:r>
                </w:p>
                <w:p w:rsidR="00520DE9" w:rsidRDefault="00520DE9" w:rsidP="00520DE9">
                  <w:pPr>
                    <w:widowControl w:val="0"/>
                    <w:rPr>
                      <w:i/>
                      <w:iCs/>
                      <w:sz w:val="24"/>
                      <w:szCs w:val="24"/>
                    </w:rPr>
                  </w:pPr>
                  <w:r>
                    <w:rPr>
                      <w:i/>
                      <w:iCs/>
                      <w:sz w:val="24"/>
                      <w:szCs w:val="24"/>
                    </w:rPr>
                    <w:t> </w:t>
                  </w:r>
                </w:p>
                <w:p w:rsidR="00520DE9" w:rsidRDefault="00BC2C5B" w:rsidP="00520DE9">
                  <w:pPr>
                    <w:widowControl w:val="0"/>
                  </w:pPr>
                  <w:hyperlink r:id="rId4" w:history="1">
                    <w:r w:rsidR="00B65B7F" w:rsidRPr="001D5B79">
                      <w:rPr>
                        <w:rStyle w:val="Hyperlink"/>
                        <w:sz w:val="22"/>
                        <w:szCs w:val="22"/>
                      </w:rPr>
                      <w:t>www.idah2o.</w:t>
                    </w:r>
                  </w:hyperlink>
                  <w:hyperlink r:id="rId5" w:history="1">
                    <w:r w:rsidR="00520DE9">
                      <w:rPr>
                        <w:rStyle w:val="Hyperlink"/>
                        <w:sz w:val="22"/>
                        <w:szCs w:val="22"/>
                      </w:rPr>
                      <w:t>org</w:t>
                    </w:r>
                  </w:hyperlink>
                </w:p>
              </w:txbxContent>
            </v:textbox>
          </v:shape>
        </w:pict>
      </w:r>
      <w:r w:rsidRPr="00BC2C5B">
        <w:rPr>
          <w:color w:val="auto"/>
          <w:kern w:val="0"/>
          <w:sz w:val="24"/>
          <w:szCs w:val="24"/>
        </w:rPr>
        <w:pict>
          <v:shape id="_x0000_s1041" type="#_x0000_t202" style="position:absolute;margin-left:-243pt;margin-top:346.5pt;width:99pt;height:40.5pt;z-index:251661824;mso-wrap-distance-left:2.88pt;mso-wrap-distance-top:2.88pt;mso-wrap-distance-right:2.88pt;mso-wrap-distance-bottom:2.88pt" filled="f" stroked="f" insetpen="t" o:cliptowrap="t">
            <v:fill color2="black"/>
            <v:shadow color="#ccc"/>
            <v:textbox style="mso-column-margin:5.76pt" inset="2.88pt,2.88pt,2.88pt,2.88pt">
              <w:txbxContent>
                <w:p w:rsidR="00520DE9" w:rsidRDefault="00520DE9" w:rsidP="00520DE9"/>
              </w:txbxContent>
            </v:textbox>
          </v:shape>
        </w:pict>
      </w:r>
    </w:p>
    <w:sectPr w:rsidR="001B40EC" w:rsidSect="00520DE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compat/>
  <w:rsids>
    <w:rsidRoot w:val="00520DE9"/>
    <w:rsid w:val="00003DAF"/>
    <w:rsid w:val="000461D3"/>
    <w:rsid w:val="000E0B69"/>
    <w:rsid w:val="000F19E8"/>
    <w:rsid w:val="00115B83"/>
    <w:rsid w:val="00132F94"/>
    <w:rsid w:val="001605C5"/>
    <w:rsid w:val="001B40EC"/>
    <w:rsid w:val="001C5290"/>
    <w:rsid w:val="001D60B5"/>
    <w:rsid w:val="001F7C29"/>
    <w:rsid w:val="0020558C"/>
    <w:rsid w:val="002C2197"/>
    <w:rsid w:val="002F0CE4"/>
    <w:rsid w:val="00303077"/>
    <w:rsid w:val="00333628"/>
    <w:rsid w:val="00345C20"/>
    <w:rsid w:val="003E499E"/>
    <w:rsid w:val="004035F0"/>
    <w:rsid w:val="00412E91"/>
    <w:rsid w:val="0044155A"/>
    <w:rsid w:val="00441AEF"/>
    <w:rsid w:val="00466F79"/>
    <w:rsid w:val="00475947"/>
    <w:rsid w:val="0047658B"/>
    <w:rsid w:val="00485170"/>
    <w:rsid w:val="004B2F21"/>
    <w:rsid w:val="004D33C3"/>
    <w:rsid w:val="00517FEA"/>
    <w:rsid w:val="00520DE9"/>
    <w:rsid w:val="00560436"/>
    <w:rsid w:val="005A0B62"/>
    <w:rsid w:val="0060182C"/>
    <w:rsid w:val="00604933"/>
    <w:rsid w:val="0060780E"/>
    <w:rsid w:val="00637E9B"/>
    <w:rsid w:val="006411AB"/>
    <w:rsid w:val="0067397C"/>
    <w:rsid w:val="00690EB1"/>
    <w:rsid w:val="006C00C5"/>
    <w:rsid w:val="00744FCD"/>
    <w:rsid w:val="00771496"/>
    <w:rsid w:val="007E0007"/>
    <w:rsid w:val="007F174A"/>
    <w:rsid w:val="008045EC"/>
    <w:rsid w:val="008111D7"/>
    <w:rsid w:val="00835E69"/>
    <w:rsid w:val="00842D9B"/>
    <w:rsid w:val="00850834"/>
    <w:rsid w:val="008F004A"/>
    <w:rsid w:val="0095370C"/>
    <w:rsid w:val="00966A94"/>
    <w:rsid w:val="009A3EC6"/>
    <w:rsid w:val="009C1722"/>
    <w:rsid w:val="009D6CDE"/>
    <w:rsid w:val="009E3435"/>
    <w:rsid w:val="009E3EF0"/>
    <w:rsid w:val="009F508F"/>
    <w:rsid w:val="009F6A0E"/>
    <w:rsid w:val="00A4696E"/>
    <w:rsid w:val="00A4786B"/>
    <w:rsid w:val="00A60F6B"/>
    <w:rsid w:val="00AC1794"/>
    <w:rsid w:val="00AD04DA"/>
    <w:rsid w:val="00AD2C10"/>
    <w:rsid w:val="00AD6B2B"/>
    <w:rsid w:val="00AF47E4"/>
    <w:rsid w:val="00B513B8"/>
    <w:rsid w:val="00B65B7F"/>
    <w:rsid w:val="00B810FD"/>
    <w:rsid w:val="00B973C8"/>
    <w:rsid w:val="00BA7038"/>
    <w:rsid w:val="00BA746A"/>
    <w:rsid w:val="00BA7763"/>
    <w:rsid w:val="00BC2C5B"/>
    <w:rsid w:val="00BE2570"/>
    <w:rsid w:val="00C16CA1"/>
    <w:rsid w:val="00C21AF2"/>
    <w:rsid w:val="00C93CE1"/>
    <w:rsid w:val="00CB7CFE"/>
    <w:rsid w:val="00CF0080"/>
    <w:rsid w:val="00CF3AE3"/>
    <w:rsid w:val="00CF5C12"/>
    <w:rsid w:val="00D831ED"/>
    <w:rsid w:val="00DA40BF"/>
    <w:rsid w:val="00DC611B"/>
    <w:rsid w:val="00DD3BC9"/>
    <w:rsid w:val="00DF4014"/>
    <w:rsid w:val="00E55D2B"/>
    <w:rsid w:val="00E606E4"/>
    <w:rsid w:val="00E83BB6"/>
    <w:rsid w:val="00F02A50"/>
    <w:rsid w:val="00F31AA1"/>
    <w:rsid w:val="00F51F8C"/>
    <w:rsid w:val="00F634AA"/>
    <w:rsid w:val="00FA0170"/>
    <w:rsid w:val="00FC532D"/>
    <w:rsid w:val="00FE45C6"/>
    <w:rsid w:val="00FF33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DE9"/>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0DE9"/>
    <w:rPr>
      <w:color w:val="0000FF"/>
      <w:u w:val="single"/>
    </w:rPr>
  </w:style>
  <w:style w:type="character" w:styleId="FollowedHyperlink">
    <w:name w:val="FollowedHyperlink"/>
    <w:rsid w:val="001F7C29"/>
    <w:rPr>
      <w:color w:val="800080"/>
      <w:u w:val="single"/>
    </w:rPr>
  </w:style>
  <w:style w:type="paragraph" w:customStyle="1" w:styleId="Default">
    <w:name w:val="Default"/>
    <w:rsid w:val="00441AE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ahowaterpolicygroup.org" TargetMode="External"/><Relationship Id="rId4" Type="http://schemas.openxmlformats.org/officeDocument/2006/relationships/hyperlink" Target="http://www.idah2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tg</Company>
  <LinksUpToDate>false</LinksUpToDate>
  <CharactersWithSpaces>9</CharactersWithSpaces>
  <SharedDoc>false</SharedDoc>
  <HLinks>
    <vt:vector size="18" baseType="variant">
      <vt:variant>
        <vt:i4>4653065</vt:i4>
      </vt:variant>
      <vt:variant>
        <vt:i4>6</vt:i4>
      </vt:variant>
      <vt:variant>
        <vt:i4>0</vt:i4>
      </vt:variant>
      <vt:variant>
        <vt:i4>5</vt:i4>
      </vt:variant>
      <vt:variant>
        <vt:lpwstr>http://www.idahowaterpolicygroup.org/</vt:lpwstr>
      </vt:variant>
      <vt:variant>
        <vt:lpwstr/>
      </vt:variant>
      <vt:variant>
        <vt:i4>4128819</vt:i4>
      </vt:variant>
      <vt:variant>
        <vt:i4>3</vt:i4>
      </vt:variant>
      <vt:variant>
        <vt:i4>0</vt:i4>
      </vt:variant>
      <vt:variant>
        <vt:i4>5</vt:i4>
      </vt:variant>
      <vt:variant>
        <vt:lpwstr>http://www.idah2o./</vt:lpwstr>
      </vt:variant>
      <vt:variant>
        <vt:lpwstr/>
      </vt:variant>
      <vt:variant>
        <vt:i4>851997</vt:i4>
      </vt:variant>
      <vt:variant>
        <vt:i4>0</vt:i4>
      </vt:variant>
      <vt:variant>
        <vt:i4>0</vt:i4>
      </vt:variant>
      <vt:variant>
        <vt:i4>5</vt:i4>
      </vt:variant>
      <vt:variant>
        <vt:lpwstr>http://fishandgame.idaho.gov/cms/wildlife/wolves/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BTominaga</dc:creator>
  <cp:lastModifiedBy>LTominaga_2</cp:lastModifiedBy>
  <cp:revision>2</cp:revision>
  <dcterms:created xsi:type="dcterms:W3CDTF">2010-11-23T19:44:00Z</dcterms:created>
  <dcterms:modified xsi:type="dcterms:W3CDTF">2010-11-23T19:44:00Z</dcterms:modified>
</cp:coreProperties>
</file>